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639"/>
        <w:gridCol w:w="4138"/>
        <w:gridCol w:w="5391"/>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8E5ED8">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8E5ED8">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8E5ED8">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8E5ED8">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8E5ED8">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8E5ED8"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8E5ED8">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8E5ED8">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47015B45" w14:textId="7D102297" w:rsidR="00A05B27" w:rsidRPr="00A05B27" w:rsidRDefault="00A05B27" w:rsidP="00A05B27">
            <w:pPr>
              <w:jc w:val="both"/>
              <w:rPr>
                <w:rFonts w:ascii="Calibri" w:hAnsi="Calibri" w:cs="Calibri"/>
                <w:i/>
                <w:iCs/>
                <w:color w:val="000000"/>
                <w:sz w:val="16"/>
                <w:szCs w:val="16"/>
              </w:rPr>
            </w:pPr>
            <w:r>
              <w:rPr>
                <w:rFonts w:ascii="Calibri" w:eastAsia="Times New Roman" w:hAnsi="Calibri" w:cs="Calibri"/>
                <w:i/>
                <w:iCs/>
                <w:color w:val="000000"/>
                <w:sz w:val="16"/>
                <w:szCs w:val="16"/>
              </w:rPr>
              <w:t>monografia/</w:t>
            </w:r>
            <w:r w:rsidRPr="00A05B27">
              <w:rPr>
                <w:rFonts w:ascii="Calibri" w:hAnsi="Calibri" w:cs="Calibri"/>
                <w:i/>
                <w:iCs/>
                <w:color w:val="000000"/>
                <w:sz w:val="16"/>
                <w:szCs w:val="16"/>
                <w:lang w:val="en"/>
              </w:rPr>
              <w:t>monograph</w:t>
            </w:r>
          </w:p>
          <w:p w14:paraId="7C0DB3D6" w14:textId="1A6DB42C" w:rsidR="002014E5" w:rsidRDefault="002014E5" w:rsidP="00D349A6">
            <w:pPr>
              <w:jc w:val="both"/>
              <w:rPr>
                <w:rFonts w:ascii="Calibri" w:eastAsia="Times New Roman" w:hAnsi="Calibri" w:cs="Calibri"/>
                <w:i/>
                <w:iCs/>
                <w:color w:val="000000"/>
                <w:sz w:val="16"/>
                <w:szCs w:val="16"/>
              </w:rPr>
            </w:pP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3846F03D"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7955C4">
              <w:rPr>
                <w:rFonts w:ascii="Calibri" w:eastAsia="Times New Roman" w:hAnsi="Calibri" w:cs="Calibri"/>
                <w:color w:val="000000"/>
                <w:sz w:val="16"/>
                <w:szCs w:val="16"/>
                <w:lang w:val="en-US" w:eastAsia="sk-SK"/>
              </w:rPr>
              <w:t>22</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8E5ED8">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15CF5287" w:rsidR="00B25DDB" w:rsidRDefault="007955C4" w:rsidP="00B25DDB">
            <w:pPr>
              <w:spacing w:after="0" w:line="240" w:lineRule="auto"/>
              <w:rPr>
                <w:rFonts w:ascii="Calibri" w:eastAsia="Times New Roman" w:hAnsi="Calibri" w:cs="Calibri"/>
                <w:color w:val="000000"/>
                <w:sz w:val="16"/>
                <w:szCs w:val="16"/>
                <w:lang w:eastAsia="sk-SK"/>
              </w:rPr>
            </w:pPr>
            <w:r w:rsidRPr="007955C4">
              <w:rPr>
                <w:rFonts w:cstheme="minorHAnsi"/>
                <w:sz w:val="16"/>
                <w:szCs w:val="16"/>
              </w:rPr>
              <w:t>ID: 778650</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8E5ED8">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0815B9A1" w:rsidR="002014E5" w:rsidRDefault="00A05B27">
            <w:pPr>
              <w:spacing w:after="0" w:line="240" w:lineRule="auto"/>
              <w:rPr>
                <w:rFonts w:ascii="Calibri" w:eastAsia="Times New Roman" w:hAnsi="Calibri" w:cs="Calibri"/>
                <w:color w:val="000000"/>
                <w:sz w:val="16"/>
                <w:szCs w:val="16"/>
                <w:lang w:eastAsia="sk-SK"/>
              </w:rPr>
            </w:pPr>
            <w:hyperlink r:id="rId19" w:tgtFrame="_blank" w:history="1">
              <w:r w:rsidRPr="00A05B27">
                <w:rPr>
                  <w:rStyle w:val="Hypertextovprepojenie"/>
                  <w:rFonts w:ascii="Calibri" w:eastAsia="Times New Roman" w:hAnsi="Calibri" w:cs="Calibri"/>
                  <w:sz w:val="16"/>
                  <w:szCs w:val="16"/>
                  <w:lang w:eastAsia="sk-SK"/>
                </w:rPr>
                <w:t>https://app.crepc.sk/?f</w:t>
              </w:r>
              <w:r w:rsidRPr="00A05B27">
                <w:rPr>
                  <w:rStyle w:val="Hypertextovprepojenie"/>
                  <w:rFonts w:ascii="Calibri" w:eastAsia="Times New Roman" w:hAnsi="Calibri" w:cs="Calibri"/>
                  <w:sz w:val="16"/>
                  <w:szCs w:val="16"/>
                  <w:lang w:eastAsia="sk-SK"/>
                </w:rPr>
                <w:t>n</w:t>
              </w:r>
              <w:r w:rsidRPr="00A05B27">
                <w:rPr>
                  <w:rStyle w:val="Hypertextovprepojenie"/>
                  <w:rFonts w:ascii="Calibri" w:eastAsia="Times New Roman" w:hAnsi="Calibri" w:cs="Calibri"/>
                  <w:sz w:val="16"/>
                  <w:szCs w:val="16"/>
                  <w:lang w:eastAsia="sk-SK"/>
                </w:rPr>
                <w:t>=detailBiblioForm&amp;sid=6F0A8B61637E57732759FDC9B5</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8E5ED8">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1B6570A8" w:rsidR="002014E5" w:rsidRDefault="00865B8A" w:rsidP="00A05B27">
            <w:pPr>
              <w:spacing w:after="0" w:line="240" w:lineRule="auto"/>
              <w:rPr>
                <w:rFonts w:ascii="Calibri" w:eastAsia="Times New Roman" w:hAnsi="Calibri" w:cs="Calibri"/>
                <w:color w:val="000000"/>
                <w:sz w:val="16"/>
                <w:szCs w:val="16"/>
                <w:lang w:eastAsia="sk-SK"/>
              </w:rPr>
            </w:pPr>
            <w:proofErr w:type="spellStart"/>
            <w:r w:rsidRPr="00865B8A">
              <w:rPr>
                <w:rFonts w:ascii="Calibri" w:eastAsia="Calibri" w:hAnsi="Calibri" w:cs="Calibri"/>
                <w:kern w:val="2"/>
                <w:sz w:val="16"/>
                <w:szCs w:val="16"/>
                <w14:ligatures w14:val="standardContextual"/>
              </w:rPr>
              <w:t>The</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position</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of</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supervision</w:t>
            </w:r>
            <w:proofErr w:type="spellEnd"/>
            <w:r w:rsidRPr="00865B8A">
              <w:rPr>
                <w:rFonts w:ascii="Calibri" w:eastAsia="Calibri" w:hAnsi="Calibri" w:cs="Calibri"/>
                <w:kern w:val="2"/>
                <w:sz w:val="16"/>
                <w:szCs w:val="16"/>
                <w14:ligatures w14:val="standardContextual"/>
              </w:rPr>
              <w:t xml:space="preserve"> in </w:t>
            </w:r>
            <w:proofErr w:type="spellStart"/>
            <w:r w:rsidRPr="00865B8A">
              <w:rPr>
                <w:rFonts w:ascii="Calibri" w:eastAsia="Calibri" w:hAnsi="Calibri" w:cs="Calibri"/>
                <w:kern w:val="2"/>
                <w:sz w:val="16"/>
                <w:szCs w:val="16"/>
                <w14:ligatures w14:val="standardContextual"/>
              </w:rPr>
              <w:t>the</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field</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of</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social</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work</w:t>
            </w:r>
            <w:proofErr w:type="spellEnd"/>
            <w:r w:rsidRPr="00865B8A">
              <w:rPr>
                <w:rFonts w:ascii="Calibri" w:eastAsia="Calibri" w:hAnsi="Calibri" w:cs="Calibri"/>
                <w:kern w:val="2"/>
                <w:sz w:val="16"/>
                <w:szCs w:val="16"/>
                <w14:ligatures w14:val="standardContextual"/>
              </w:rPr>
              <w:t xml:space="preserve"> Lešková, </w:t>
            </w:r>
            <w:proofErr w:type="spellStart"/>
            <w:r w:rsidRPr="00865B8A">
              <w:rPr>
                <w:rFonts w:ascii="Calibri" w:eastAsia="Calibri" w:hAnsi="Calibri" w:cs="Calibri"/>
                <w:kern w:val="2"/>
                <w:sz w:val="16"/>
                <w:szCs w:val="16"/>
                <w14:ligatures w14:val="standardContextual"/>
              </w:rPr>
              <w:t>Hunyadiová</w:t>
            </w:r>
            <w:proofErr w:type="spellEnd"/>
            <w:r w:rsidRPr="00865B8A">
              <w:rPr>
                <w:rFonts w:ascii="Calibri" w:eastAsia="Calibri" w:hAnsi="Calibri" w:cs="Calibri"/>
                <w:kern w:val="2"/>
                <w:sz w:val="16"/>
                <w:szCs w:val="16"/>
                <w14:ligatures w14:val="standardContextual"/>
              </w:rPr>
              <w:t xml:space="preserve">, Stanislava; Bujdová, </w:t>
            </w:r>
            <w:bookmarkStart w:id="1" w:name="_GoBack"/>
            <w:bookmarkEnd w:id="1"/>
            <w:r w:rsidRPr="00865B8A">
              <w:rPr>
                <w:rFonts w:ascii="Calibri" w:eastAsia="Calibri" w:hAnsi="Calibri" w:cs="Calibri"/>
                <w:kern w:val="2"/>
                <w:sz w:val="16"/>
                <w:szCs w:val="16"/>
                <w14:ligatures w14:val="standardContextual"/>
              </w:rPr>
              <w:t xml:space="preserve">– 1. vyd. – Dublin (Írsko) : </w:t>
            </w:r>
            <w:proofErr w:type="spellStart"/>
            <w:r w:rsidRPr="00865B8A">
              <w:rPr>
                <w:rFonts w:ascii="Calibri" w:eastAsia="Calibri" w:hAnsi="Calibri" w:cs="Calibri"/>
                <w:kern w:val="2"/>
                <w:sz w:val="16"/>
                <w:szCs w:val="16"/>
                <w14:ligatures w14:val="standardContextual"/>
              </w:rPr>
              <w:t>International</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scientific</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board</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of</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catholic</w:t>
            </w:r>
            <w:proofErr w:type="spellEnd"/>
            <w:r w:rsidRPr="00865B8A">
              <w:rPr>
                <w:rFonts w:ascii="Calibri" w:eastAsia="Calibri" w:hAnsi="Calibri" w:cs="Calibri"/>
                <w:kern w:val="2"/>
                <w:sz w:val="16"/>
                <w:szCs w:val="16"/>
                <w14:ligatures w14:val="standardContextual"/>
              </w:rPr>
              <w:t xml:space="preserve"> </w:t>
            </w:r>
            <w:proofErr w:type="spellStart"/>
            <w:r w:rsidRPr="00865B8A">
              <w:rPr>
                <w:rFonts w:ascii="Calibri" w:eastAsia="Calibri" w:hAnsi="Calibri" w:cs="Calibri"/>
                <w:kern w:val="2"/>
                <w:sz w:val="16"/>
                <w:szCs w:val="16"/>
                <w14:ligatures w14:val="standardContextual"/>
              </w:rPr>
              <w:t>researchers</w:t>
            </w:r>
            <w:proofErr w:type="spellEnd"/>
            <w:r w:rsidRPr="00865B8A">
              <w:rPr>
                <w:rFonts w:ascii="Calibri" w:eastAsia="Calibri" w:hAnsi="Calibri" w:cs="Calibri"/>
                <w:kern w:val="2"/>
                <w:sz w:val="16"/>
                <w:szCs w:val="16"/>
                <w14:ligatures w14:val="standardContextual"/>
              </w:rPr>
              <w:t xml:space="preserve"> and </w:t>
            </w:r>
            <w:proofErr w:type="spellStart"/>
            <w:r w:rsidRPr="00865B8A">
              <w:rPr>
                <w:rFonts w:ascii="Calibri" w:eastAsia="Calibri" w:hAnsi="Calibri" w:cs="Calibri"/>
                <w:kern w:val="2"/>
                <w:sz w:val="16"/>
                <w:szCs w:val="16"/>
                <w14:ligatures w14:val="standardContextual"/>
              </w:rPr>
              <w:t>teachers</w:t>
            </w:r>
            <w:proofErr w:type="spellEnd"/>
            <w:r w:rsidRPr="00865B8A">
              <w:rPr>
                <w:rFonts w:ascii="Calibri" w:eastAsia="Calibri" w:hAnsi="Calibri" w:cs="Calibri"/>
                <w:kern w:val="2"/>
                <w:sz w:val="16"/>
                <w:szCs w:val="16"/>
                <w14:ligatures w14:val="standardContextual"/>
              </w:rPr>
              <w:t xml:space="preserve"> in </w:t>
            </w:r>
            <w:proofErr w:type="spellStart"/>
            <w:r w:rsidRPr="00865B8A">
              <w:rPr>
                <w:rFonts w:ascii="Calibri" w:eastAsia="Calibri" w:hAnsi="Calibri" w:cs="Calibri"/>
                <w:kern w:val="2"/>
                <w:sz w:val="16"/>
                <w:szCs w:val="16"/>
                <w14:ligatures w14:val="standardContextual"/>
              </w:rPr>
              <w:t>Ireland</w:t>
            </w:r>
            <w:proofErr w:type="spellEnd"/>
            <w:r w:rsidRPr="00865B8A">
              <w:rPr>
                <w:rFonts w:ascii="Calibri" w:eastAsia="Calibri" w:hAnsi="Calibri" w:cs="Calibri"/>
                <w:kern w:val="2"/>
                <w:sz w:val="16"/>
                <w:szCs w:val="16"/>
                <w14:ligatures w14:val="standardContextual"/>
              </w:rPr>
              <w:t>, 2022. – 125 s. – ISBN 978-1-9989986-7-8</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8E5ED8">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708907E5" w:rsidR="002014E5" w:rsidRDefault="00865B8A" w:rsidP="00865B8A">
            <w:pPr>
              <w:pStyle w:val="Textpoznmkypodiarou"/>
              <w:rPr>
                <w:rFonts w:ascii="Calibri" w:eastAsia="Times New Roman" w:hAnsi="Calibri" w:cs="Calibri"/>
                <w:i/>
                <w:iCs/>
                <w:color w:val="000000"/>
                <w:sz w:val="16"/>
                <w:szCs w:val="16"/>
                <w:lang w:val="en-US" w:eastAsia="sk-SK"/>
              </w:rPr>
            </w:pPr>
            <w:proofErr w:type="spellStart"/>
            <w:r>
              <w:rPr>
                <w:rFonts w:ascii="Calibri" w:eastAsia="Times New Roman" w:hAnsi="Calibri" w:cs="Calibri"/>
                <w:i/>
                <w:iCs/>
                <w:color w:val="000000"/>
                <w:sz w:val="16"/>
                <w:szCs w:val="16"/>
                <w:lang w:val="en-US" w:eastAsia="sk-SK"/>
              </w:rPr>
              <w:t>monografia</w:t>
            </w:r>
            <w:proofErr w:type="spellEnd"/>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0B24A742" w14:textId="5A8D261F" w:rsidR="002014E5" w:rsidRPr="00C51E9C" w:rsidRDefault="002014E5">
            <w:pPr>
              <w:spacing w:after="0" w:line="240" w:lineRule="auto"/>
              <w:rPr>
                <w:lang w:eastAsia="sk-SK"/>
              </w:rPr>
            </w:pP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44E3F180"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865B8A">
              <w:rPr>
                <w:rFonts w:ascii="Calibri" w:hAnsi="Calibri" w:cs="Calibri"/>
                <w:color w:val="000000"/>
                <w:sz w:val="16"/>
                <w:szCs w:val="16"/>
                <w:lang w:val="en-US"/>
              </w:rPr>
              <w:t>33,</w:t>
            </w:r>
            <w:r w:rsidR="00CD0E5F">
              <w:rPr>
                <w:rFonts w:ascii="Calibri" w:hAnsi="Calibri" w:cs="Calibri"/>
                <w:color w:val="000000"/>
                <w:sz w:val="16"/>
                <w:szCs w:val="16"/>
                <w:lang w:val="en-US"/>
              </w:rPr>
              <w:t>333 %/</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Bujdová 33,333%</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8E5ED8">
            <w:pPr>
              <w:spacing w:after="0" w:line="240" w:lineRule="auto"/>
              <w:rPr>
                <w:rFonts w:ascii="Calibri" w:eastAsia="Times New Roman" w:hAnsi="Calibri" w:cs="Calibri"/>
                <w:sz w:val="16"/>
                <w:szCs w:val="16"/>
                <w:lang w:eastAsia="sk-SK"/>
              </w:rPr>
            </w:pPr>
            <w:hyperlink r:id="rId22"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04BBAEF4" w14:textId="5F26E1E2" w:rsidR="00CD0E5F" w:rsidRDefault="002B12A8" w:rsidP="00CD0E5F">
            <w:pPr>
              <w:pStyle w:val="PredformtovanHTML"/>
              <w:shd w:val="clear" w:color="auto" w:fill="F8F9FA"/>
              <w:rPr>
                <w:rFonts w:ascii="Calibri" w:hAnsi="Calibri" w:cs="Calibri"/>
                <w:color w:val="000000"/>
                <w:sz w:val="16"/>
                <w:szCs w:val="16"/>
              </w:rPr>
            </w:pPr>
            <w:r w:rsidRPr="00C51E9C">
              <w:rPr>
                <w:rFonts w:ascii="Calibri" w:hAnsi="Calibri" w:cs="Calibri"/>
                <w:color w:val="000000"/>
                <w:sz w:val="16"/>
                <w:szCs w:val="16"/>
              </w:rPr>
              <w:t xml:space="preserve">Podiel autora je v spracovaní : </w:t>
            </w:r>
            <w:r w:rsidR="002206E9">
              <w:rPr>
                <w:rFonts w:ascii="Calibri" w:hAnsi="Calibri" w:cs="Calibri"/>
                <w:color w:val="000000"/>
                <w:sz w:val="16"/>
                <w:szCs w:val="16"/>
              </w:rPr>
              <w:t>terminologického vymedzenia</w:t>
            </w:r>
            <w:r w:rsidR="00C86DD5">
              <w:rPr>
                <w:rFonts w:ascii="Calibri" w:hAnsi="Calibri" w:cs="Calibri"/>
                <w:color w:val="000000"/>
                <w:sz w:val="16"/>
                <w:szCs w:val="16"/>
              </w:rPr>
              <w:t xml:space="preserve"> humanizmu, </w:t>
            </w:r>
            <w:proofErr w:type="spellStart"/>
            <w:r w:rsidR="00C86DD5">
              <w:rPr>
                <w:rFonts w:ascii="Calibri" w:hAnsi="Calibri" w:cs="Calibri"/>
                <w:color w:val="000000"/>
                <w:sz w:val="16"/>
                <w:szCs w:val="16"/>
              </w:rPr>
              <w:t>existiciomalizmu</w:t>
            </w:r>
            <w:proofErr w:type="spellEnd"/>
            <w:r w:rsidR="00C86DD5">
              <w:rPr>
                <w:rFonts w:ascii="Calibri" w:hAnsi="Calibri" w:cs="Calibri"/>
                <w:color w:val="000000"/>
                <w:sz w:val="16"/>
                <w:szCs w:val="16"/>
              </w:rPr>
              <w:t xml:space="preserve"> v spojitosti s dodržiavaním ľudských práv  prepojením na sociálnu prácu a </w:t>
            </w:r>
            <w:proofErr w:type="spellStart"/>
            <w:r w:rsidR="00C86DD5">
              <w:rPr>
                <w:rFonts w:ascii="Calibri" w:hAnsi="Calibri" w:cs="Calibri"/>
                <w:color w:val="000000"/>
                <w:sz w:val="16"/>
                <w:szCs w:val="16"/>
              </w:rPr>
              <w:t>supervíziu</w:t>
            </w:r>
            <w:proofErr w:type="spellEnd"/>
            <w:r w:rsidR="00C86DD5">
              <w:rPr>
                <w:rFonts w:ascii="Calibri" w:hAnsi="Calibri" w:cs="Calibri"/>
                <w:color w:val="000000"/>
                <w:sz w:val="16"/>
                <w:szCs w:val="16"/>
              </w:rPr>
              <w:t xml:space="preserve">. </w:t>
            </w:r>
          </w:p>
          <w:p w14:paraId="62CFBA5D" w14:textId="77777777" w:rsidR="00CD0E5F" w:rsidRDefault="00CD0E5F" w:rsidP="00CD0E5F">
            <w:pPr>
              <w:pStyle w:val="PredformtovanHTML"/>
              <w:shd w:val="clear" w:color="auto" w:fill="F8F9FA"/>
              <w:rPr>
                <w:rFonts w:ascii="Calibri" w:hAnsi="Calibri" w:cs="Calibri"/>
                <w:color w:val="000000"/>
                <w:sz w:val="16"/>
                <w:szCs w:val="16"/>
              </w:rPr>
            </w:pPr>
          </w:p>
          <w:p w14:paraId="2E57C3E9" w14:textId="77777777" w:rsidR="00C86DD5" w:rsidRPr="00C86DD5" w:rsidRDefault="00C86DD5" w:rsidP="00C86DD5">
            <w:pPr>
              <w:pStyle w:val="PredformtovanHTML"/>
              <w:rPr>
                <w:rFonts w:ascii="Calibri" w:hAnsi="Calibri" w:cs="Calibri"/>
                <w:color w:val="000000"/>
                <w:sz w:val="16"/>
                <w:szCs w:val="16"/>
              </w:rPr>
            </w:pPr>
            <w:r w:rsidRPr="00C86DD5">
              <w:rPr>
                <w:rFonts w:ascii="Calibri" w:hAnsi="Calibri" w:cs="Calibri"/>
                <w:color w:val="000000"/>
                <w:sz w:val="16"/>
                <w:szCs w:val="16"/>
                <w:lang w:val="en"/>
              </w:rPr>
              <w:t>The author's contribution is in processing: the terminological definition of humanism, existentialism in connection with the observance of human rights linked to social work and supervision.</w:t>
            </w:r>
          </w:p>
          <w:p w14:paraId="0FBD7931" w14:textId="3B5C3B46" w:rsidR="002014E5" w:rsidRPr="00D42559" w:rsidRDefault="002014E5" w:rsidP="00C86DD5">
            <w:pPr>
              <w:pStyle w:val="PredformtovanHTML"/>
              <w:shd w:val="clear" w:color="auto" w:fill="F8F9FA"/>
              <w:rPr>
                <w:rFonts w:ascii="Calibri" w:hAnsi="Calibri" w:cs="Calibri"/>
                <w:color w:val="000000"/>
                <w:sz w:val="16"/>
                <w:szCs w:val="16"/>
              </w:rPr>
            </w:pP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F5720E">
        <w:trPr>
          <w:trHeight w:val="1500"/>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8E5ED8">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B00F99C" w14:textId="77777777" w:rsidR="00BB531F" w:rsidRPr="00BB531F" w:rsidRDefault="00BB531F" w:rsidP="00BB531F">
            <w:pPr>
              <w:spacing w:after="0" w:line="240" w:lineRule="auto"/>
              <w:rPr>
                <w:rFonts w:ascii="Calibri" w:eastAsia="SimSun" w:hAnsi="Calibri" w:cs="Calibri"/>
                <w:sz w:val="16"/>
                <w:szCs w:val="16"/>
                <w:lang w:eastAsia="sk-SK"/>
              </w:rPr>
            </w:pPr>
            <w:r w:rsidRPr="00BB531F">
              <w:rPr>
                <w:rFonts w:ascii="Calibri" w:eastAsia="SimSun" w:hAnsi="Calibri" w:cs="Calibri"/>
                <w:sz w:val="16"/>
                <w:szCs w:val="16"/>
                <w:lang w:val="en" w:eastAsia="sk-SK"/>
              </w:rPr>
              <w:t>The defined areas of humanism are a tradition of free thinking, they are the basis for personal freedom and a prerequisite for self-realization, the satisfaction of helping professionals, because it does not transform a person according to a certain scheme that can fail, but respects human nature and freedom as well as on the part of those who receive care and service.</w:t>
            </w:r>
          </w:p>
          <w:p w14:paraId="5466E54B" w14:textId="22B71C91" w:rsidR="002014E5" w:rsidRPr="002D4983" w:rsidRDefault="002014E5">
            <w:pPr>
              <w:spacing w:after="0" w:line="240" w:lineRule="auto"/>
              <w:rPr>
                <w:rFonts w:ascii="Calibri" w:eastAsia="SimSun" w:hAnsi="Calibri" w:cs="Calibri"/>
                <w:sz w:val="16"/>
                <w:szCs w:val="16"/>
                <w:lang w:eastAsia="sk-SK"/>
              </w:rPr>
            </w:pP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A0A3009" w14:textId="5E3C9076" w:rsidR="002D4983" w:rsidRDefault="002D4983" w:rsidP="00BB531F">
            <w:pPr>
              <w:spacing w:after="0" w:line="240" w:lineRule="auto"/>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576D141A" w14:textId="77777777" w:rsidR="006630BD" w:rsidRPr="006630BD" w:rsidRDefault="006630BD" w:rsidP="006630BD">
            <w:pPr>
              <w:pStyle w:val="PredformtovanHTML"/>
              <w:shd w:val="clear" w:color="auto" w:fill="F8F9FA"/>
              <w:jc w:val="both"/>
              <w:rPr>
                <w:rFonts w:ascii="Calibri" w:hAnsi="Calibri" w:cs="Calibri"/>
                <w:color w:val="000000"/>
                <w:sz w:val="16"/>
                <w:szCs w:val="16"/>
              </w:rPr>
            </w:pPr>
            <w:r w:rsidRPr="006630BD">
              <w:rPr>
                <w:rFonts w:ascii="Calibri" w:hAnsi="Calibri" w:cs="Calibri"/>
                <w:color w:val="000000"/>
                <w:sz w:val="16"/>
                <w:szCs w:val="16"/>
              </w:rPr>
              <w:t xml:space="preserve">Výstup je zameraný na sociálnych pracovníkov pracujúcich v zariadeniach sociálnych služieb ako aj sociálno-právnej ochrany a sociálnej kurately to v súvislosti so zvyšovaním kvality poskytovaných služieb.  O ľudské zdroje a personálne podmienky pre zabezpečovanie starostlivosti a poskytovanie služieb je nevyhnutné zabezpečovať starostlivosť. Aktívnymi nástrojmi kultúry organizácie prostredníctvom manažmentu, dôležitosťou ľudí, fungujúcimi procesmi, možnosťou ďalšieho vzdelávaním, odmeňovaním a oceňovaním zameriavať starostlivosť, ktorých nevyhnutnou súčasťou je </w:t>
            </w:r>
            <w:proofErr w:type="spellStart"/>
            <w:r w:rsidRPr="006630BD">
              <w:rPr>
                <w:rFonts w:ascii="Calibri" w:hAnsi="Calibri" w:cs="Calibri"/>
                <w:color w:val="000000"/>
                <w:sz w:val="16"/>
                <w:szCs w:val="16"/>
              </w:rPr>
              <w:t>supervízia</w:t>
            </w:r>
            <w:proofErr w:type="spellEnd"/>
            <w:r w:rsidRPr="006630BD">
              <w:rPr>
                <w:rFonts w:ascii="Calibri" w:hAnsi="Calibri" w:cs="Calibri"/>
                <w:color w:val="000000"/>
                <w:sz w:val="16"/>
                <w:szCs w:val="16"/>
              </w:rPr>
              <w:t xml:space="preserve">.  </w:t>
            </w:r>
          </w:p>
          <w:p w14:paraId="7ECF6BAB" w14:textId="77777777" w:rsidR="006630BD" w:rsidRPr="006630BD" w:rsidRDefault="006630BD" w:rsidP="006630BD">
            <w:pPr>
              <w:pStyle w:val="PredformtovanHTML"/>
              <w:jc w:val="both"/>
              <w:rPr>
                <w:rFonts w:ascii="Calibri" w:hAnsi="Calibri" w:cs="Calibri"/>
                <w:color w:val="000000"/>
                <w:sz w:val="16"/>
                <w:szCs w:val="16"/>
              </w:rPr>
            </w:pPr>
            <w:r w:rsidRPr="006630BD">
              <w:rPr>
                <w:rFonts w:ascii="Calibri" w:hAnsi="Calibri" w:cs="Calibri"/>
                <w:color w:val="000000"/>
                <w:sz w:val="16"/>
                <w:szCs w:val="16"/>
                <w:lang w:val="en"/>
              </w:rPr>
              <w:t>The output is aimed at social workers working in social service facilities as well as social-legal protection and social guardianship in connection with increasing the quality of services provided. Human resources and personnel conditions for providing care and providing services are necessary to ensure care. The active tools of the organization's culture through management, the importance of people, functioning processes, the possibility of further education, reward and appreciation to focus care, an essential part of which is supervision.</w:t>
            </w:r>
          </w:p>
          <w:p w14:paraId="3B6E85A1" w14:textId="77777777" w:rsidR="006630BD" w:rsidRPr="006630BD" w:rsidRDefault="006630BD" w:rsidP="006630BD">
            <w:pPr>
              <w:pStyle w:val="PredformtovanHTML"/>
              <w:shd w:val="clear" w:color="auto" w:fill="F8F9FA"/>
              <w:jc w:val="both"/>
              <w:rPr>
                <w:rFonts w:ascii="Calibri" w:hAnsi="Calibri" w:cs="Calibri"/>
                <w:color w:val="000000"/>
                <w:sz w:val="16"/>
                <w:szCs w:val="16"/>
              </w:rPr>
            </w:pPr>
          </w:p>
          <w:p w14:paraId="1A094808" w14:textId="77777777" w:rsidR="006630BD" w:rsidRDefault="006630BD" w:rsidP="00BB531F">
            <w:pPr>
              <w:pStyle w:val="PredformtovanHTML"/>
              <w:shd w:val="clear" w:color="auto" w:fill="F8F9FA"/>
              <w:rPr>
                <w:rFonts w:ascii="Calibri" w:hAnsi="Calibri" w:cs="Calibri"/>
                <w:color w:val="000000"/>
                <w:sz w:val="16"/>
                <w:szCs w:val="16"/>
                <w:lang w:val="en-US"/>
              </w:rPr>
            </w:pPr>
          </w:p>
          <w:p w14:paraId="770FB3A5" w14:textId="759B9E84" w:rsidR="00E34856" w:rsidRDefault="00E34856" w:rsidP="006630BD">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505E3913" w14:textId="77777777" w:rsidR="006630BD" w:rsidRDefault="006630BD" w:rsidP="000D3383">
            <w:pPr>
              <w:spacing w:after="0" w:line="240" w:lineRule="auto"/>
              <w:ind w:left="68"/>
              <w:jc w:val="both"/>
              <w:rPr>
                <w:rFonts w:cstheme="minorHAnsi"/>
                <w:bCs/>
                <w:sz w:val="16"/>
                <w:szCs w:val="16"/>
              </w:rPr>
            </w:pPr>
          </w:p>
          <w:p w14:paraId="3DFE0E2D" w14:textId="73C5DC47" w:rsidR="000D3383" w:rsidRPr="000D3383" w:rsidRDefault="000D3383" w:rsidP="000D3383">
            <w:pPr>
              <w:spacing w:after="0" w:line="240" w:lineRule="auto"/>
              <w:ind w:left="68"/>
              <w:jc w:val="both"/>
              <w:rPr>
                <w:rFonts w:cstheme="minorHAnsi"/>
                <w:sz w:val="16"/>
                <w:szCs w:val="16"/>
              </w:rPr>
            </w:pPr>
            <w:r w:rsidRPr="000D3383">
              <w:rPr>
                <w:rFonts w:cstheme="minorHAnsi"/>
                <w:bCs/>
                <w:sz w:val="16"/>
                <w:szCs w:val="16"/>
              </w:rPr>
              <w:t xml:space="preserve">V monografii sú závery prezentované systematickou prácou, ktorá podľa </w:t>
            </w:r>
            <w:proofErr w:type="spellStart"/>
            <w:r w:rsidRPr="000D3383">
              <w:rPr>
                <w:rFonts w:cstheme="minorHAnsi"/>
                <w:sz w:val="16"/>
                <w:szCs w:val="16"/>
              </w:rPr>
              <w:t>Schillinga</w:t>
            </w:r>
            <w:proofErr w:type="spellEnd"/>
            <w:r w:rsidRPr="000D3383">
              <w:rPr>
                <w:rFonts w:cstheme="minorHAnsi"/>
                <w:sz w:val="16"/>
                <w:szCs w:val="16"/>
                <w:vertAlign w:val="superscript"/>
              </w:rPr>
              <w:t xml:space="preserve"> </w:t>
            </w:r>
            <w:r w:rsidRPr="000D3383">
              <w:rPr>
                <w:rFonts w:cstheme="minorHAnsi"/>
                <w:sz w:val="16"/>
                <w:szCs w:val="16"/>
              </w:rPr>
              <w:t xml:space="preserve">pri rozhodovaní sa o poskytnutí sociálnej pomoci odpovedá na štyri základné otázky, a to: Komu? Kedy? Ako? Prečo? </w:t>
            </w:r>
            <w:r w:rsidRPr="000D3383">
              <w:rPr>
                <w:rFonts w:cstheme="minorHAnsi"/>
                <w:sz w:val="16"/>
                <w:szCs w:val="16"/>
                <w:vertAlign w:val="superscript"/>
              </w:rPr>
              <w:t xml:space="preserve"> </w:t>
            </w:r>
            <w:r w:rsidRPr="000D3383">
              <w:rPr>
                <w:rFonts w:cstheme="minorHAnsi"/>
                <w:sz w:val="16"/>
                <w:szCs w:val="16"/>
              </w:rPr>
              <w:t xml:space="preserve">Odpoveďami sú spokojní pracovníci oddelení  </w:t>
            </w:r>
            <w:proofErr w:type="spellStart"/>
            <w:r w:rsidRPr="000D3383">
              <w:rPr>
                <w:rFonts w:cstheme="minorHAnsi"/>
                <w:sz w:val="16"/>
                <w:szCs w:val="16"/>
              </w:rPr>
              <w:t>SPODaSK</w:t>
            </w:r>
            <w:proofErr w:type="spellEnd"/>
            <w:r w:rsidRPr="000D3383">
              <w:rPr>
                <w:rFonts w:cstheme="minorHAnsi"/>
                <w:sz w:val="16"/>
                <w:szCs w:val="16"/>
              </w:rPr>
              <w:t xml:space="preserve"> a zariadení sociálnych služieb, ktorí tak môžu zabezpečovať profesionálnu sociálnu prácu a byť efektívnym členom multidisciplinárneho tímu. </w:t>
            </w:r>
            <w:r w:rsidR="006630BD">
              <w:rPr>
                <w:rFonts w:cstheme="minorHAnsi"/>
                <w:sz w:val="16"/>
                <w:szCs w:val="16"/>
              </w:rPr>
              <w:t xml:space="preserve"> Študijný odbor sociálna práca je  procesom celoživotného vzdelávania</w:t>
            </w:r>
            <w:r w:rsidR="00F5720E">
              <w:rPr>
                <w:rFonts w:cstheme="minorHAnsi"/>
                <w:sz w:val="16"/>
                <w:szCs w:val="16"/>
              </w:rPr>
              <w:t xml:space="preserve"> a </w:t>
            </w:r>
            <w:proofErr w:type="spellStart"/>
            <w:r w:rsidR="00F5720E">
              <w:rPr>
                <w:rFonts w:cstheme="minorHAnsi"/>
                <w:sz w:val="16"/>
                <w:szCs w:val="16"/>
              </w:rPr>
              <w:t>supervízia</w:t>
            </w:r>
            <w:proofErr w:type="spellEnd"/>
            <w:r w:rsidR="00F5720E">
              <w:rPr>
                <w:rFonts w:cstheme="minorHAnsi"/>
                <w:sz w:val="16"/>
                <w:szCs w:val="16"/>
              </w:rPr>
              <w:t xml:space="preserve"> je jednou z možností ďalšieho vzdelávania sociálnych pracovníkov. </w:t>
            </w:r>
          </w:p>
          <w:p w14:paraId="3A9B1F46" w14:textId="77777777" w:rsidR="00F5720E" w:rsidRPr="00F5720E" w:rsidRDefault="00F5720E" w:rsidP="00F5720E">
            <w:pPr>
              <w:spacing w:line="240" w:lineRule="auto"/>
              <w:rPr>
                <w:rFonts w:ascii="Calibri" w:hAnsi="Calibri" w:cs="Calibri"/>
                <w:color w:val="000000"/>
                <w:sz w:val="16"/>
                <w:szCs w:val="16"/>
              </w:rPr>
            </w:pPr>
            <w:r w:rsidRPr="00F5720E">
              <w:rPr>
                <w:rFonts w:ascii="Calibri" w:hAnsi="Calibri" w:cs="Calibri"/>
                <w:color w:val="000000"/>
                <w:sz w:val="16"/>
                <w:szCs w:val="16"/>
                <w:lang w:val="en"/>
              </w:rPr>
              <w:t xml:space="preserve">In the monograph, the conclusions are presented as a systematic work, which, according to Schilling, answers four basic questions when deciding on the provision of social assistance, namely: To whom? When? How? Why? The answers are satisfied employees of </w:t>
            </w:r>
            <w:proofErr w:type="spellStart"/>
            <w:r w:rsidRPr="00F5720E">
              <w:rPr>
                <w:rFonts w:ascii="Calibri" w:hAnsi="Calibri" w:cs="Calibri"/>
                <w:color w:val="000000"/>
                <w:sz w:val="16"/>
                <w:szCs w:val="16"/>
                <w:lang w:val="en"/>
              </w:rPr>
              <w:t>SPODaSK</w:t>
            </w:r>
            <w:proofErr w:type="spellEnd"/>
            <w:r w:rsidRPr="00F5720E">
              <w:rPr>
                <w:rFonts w:ascii="Calibri" w:hAnsi="Calibri" w:cs="Calibri"/>
                <w:color w:val="000000"/>
                <w:sz w:val="16"/>
                <w:szCs w:val="16"/>
                <w:lang w:val="en"/>
              </w:rPr>
              <w:t xml:space="preserve"> departments and social services facilities, who can thus provide professional social work and be an effective member of a multidisciplinary team. The study field of social work is a lifelong learning process, and supervision is one of the options for further education of social workers.</w:t>
            </w:r>
          </w:p>
          <w:p w14:paraId="604ECCB0" w14:textId="1E7C9B77" w:rsidR="00B0795B" w:rsidRDefault="00B0795B" w:rsidP="00F5720E">
            <w:pPr>
              <w:spacing w:line="240" w:lineRule="auto"/>
              <w:rPr>
                <w:rFonts w:ascii="Calibri" w:hAnsi="Calibri" w:cs="Calibri"/>
                <w:color w:val="000000"/>
                <w:sz w:val="16"/>
                <w:szCs w:val="16"/>
              </w:rPr>
            </w:pP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0AFA3" w14:textId="77777777" w:rsidR="008E5ED8" w:rsidRDefault="008E5ED8">
      <w:pPr>
        <w:spacing w:line="240" w:lineRule="auto"/>
      </w:pPr>
      <w:r>
        <w:separator/>
      </w:r>
    </w:p>
  </w:endnote>
  <w:endnote w:type="continuationSeparator" w:id="0">
    <w:p w14:paraId="5873E094" w14:textId="77777777" w:rsidR="008E5ED8" w:rsidRDefault="008E5E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BE559" w14:textId="77777777" w:rsidR="008E5ED8" w:rsidRDefault="008E5ED8">
      <w:pPr>
        <w:spacing w:after="0"/>
      </w:pPr>
      <w:r>
        <w:separator/>
      </w:r>
    </w:p>
  </w:footnote>
  <w:footnote w:type="continuationSeparator" w:id="0">
    <w:p w14:paraId="35F4C7D2" w14:textId="77777777" w:rsidR="008E5ED8" w:rsidRDefault="008E5ED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A418B"/>
    <w:rsid w:val="000D3383"/>
    <w:rsid w:val="000D5896"/>
    <w:rsid w:val="001171F4"/>
    <w:rsid w:val="00190A9C"/>
    <w:rsid w:val="001F33EC"/>
    <w:rsid w:val="002014E5"/>
    <w:rsid w:val="00211BB7"/>
    <w:rsid w:val="002206E9"/>
    <w:rsid w:val="002B12A8"/>
    <w:rsid w:val="002D4983"/>
    <w:rsid w:val="002E0EEE"/>
    <w:rsid w:val="004234BA"/>
    <w:rsid w:val="004C0ADE"/>
    <w:rsid w:val="005635B0"/>
    <w:rsid w:val="00643C55"/>
    <w:rsid w:val="006630BD"/>
    <w:rsid w:val="0067399B"/>
    <w:rsid w:val="006D7DAC"/>
    <w:rsid w:val="0073261A"/>
    <w:rsid w:val="007955C4"/>
    <w:rsid w:val="008236CC"/>
    <w:rsid w:val="00865B8A"/>
    <w:rsid w:val="008C3F97"/>
    <w:rsid w:val="008E5ED8"/>
    <w:rsid w:val="009404FE"/>
    <w:rsid w:val="009B38BA"/>
    <w:rsid w:val="00A05B27"/>
    <w:rsid w:val="00A341A8"/>
    <w:rsid w:val="00A63E5B"/>
    <w:rsid w:val="00AC3681"/>
    <w:rsid w:val="00B0795B"/>
    <w:rsid w:val="00B25DDB"/>
    <w:rsid w:val="00B9766B"/>
    <w:rsid w:val="00BB531F"/>
    <w:rsid w:val="00C51E9C"/>
    <w:rsid w:val="00C657A7"/>
    <w:rsid w:val="00C67EDA"/>
    <w:rsid w:val="00C86DD5"/>
    <w:rsid w:val="00CD0E5F"/>
    <w:rsid w:val="00D349A6"/>
    <w:rsid w:val="00D42559"/>
    <w:rsid w:val="00E21A24"/>
    <w:rsid w:val="00E34856"/>
    <w:rsid w:val="00E452F5"/>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449785512">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591770629">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6F0A8B61637E57732759FDC9B5"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1385</Words>
  <Characters>7900</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6</cp:revision>
  <dcterms:created xsi:type="dcterms:W3CDTF">2024-02-07T19:31:00Z</dcterms:created>
  <dcterms:modified xsi:type="dcterms:W3CDTF">2024-02-09T17:06:00Z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